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Takie samochody kochają polscy przedsiębiorcy. EFL prezentuje raport specjalny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Przedsiębiorcy napędzają polską motoryzację – niemal 8 na 10 systematycznie odświeża swoją flotę, przeważnie co 4-5 lat, a już 2/3 nowych aut osobowych trafia do firm. Wybór? Coraz częściej SUV-y i segment premium. Leasing pozostaje podstawą finansowania, a elektryki powoli wracają do gry – wynika z raportu EFL.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Przedsiębiorcy siłą napędową motoryzacji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r. w UE zarejestrowano ponad 10,6 mln samochodów osobowych, z czego 551,6 tys. w Polsce – czyli co dwudzieste auto. </w:t>
      </w:r>
      <w:r>
        <w:rPr>
          <w:rFonts w:ascii="calibri" w:hAnsi="calibri" w:eastAsia="calibri" w:cs="calibri"/>
          <w:sz w:val="24"/>
          <w:szCs w:val="24"/>
          <w:b/>
        </w:rPr>
        <w:t xml:space="preserve">Ponad 2/3 z nich nabyli klienci instytucjonalni</w:t>
      </w:r>
      <w:r>
        <w:rPr>
          <w:rFonts w:ascii="calibri" w:hAnsi="calibri" w:eastAsia="calibri" w:cs="calibri"/>
          <w:sz w:val="24"/>
          <w:szCs w:val="24"/>
        </w:rPr>
        <w:t xml:space="preserve">, zaś w przypadku samochodów dostawczych udział przedsiębiorców jest jeszcze wyższy. Rok 2025 może przebić te wyniki: według danych CEPiK tylko do sierpnia włącznie zarejestrowano 421,5 tys. samochodów osobowych i dostawczych do 3,5 t (+5,5% rok do roku).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Ambitne plany przedsiębiorców i menedżerów flotowych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Optymistyczne prognozy potwierdza badanie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EFL</w:t>
        </w:r>
      </w:hyperlink>
      <w:r>
        <w:rPr>
          <w:rFonts w:ascii="calibri" w:hAnsi="calibri" w:eastAsia="calibri" w:cs="calibri"/>
          <w:sz w:val="24"/>
          <w:szCs w:val="24"/>
        </w:rPr>
        <w:t xml:space="preserve"> z sierpnia 2025 r., w którym wzięło udział ponad 500 osób decyzyjnych w sprawie zakupu samochodów służbowych w firmie. </w:t>
      </w:r>
      <w:r>
        <w:rPr>
          <w:rFonts w:ascii="calibri" w:hAnsi="calibri" w:eastAsia="calibri" w:cs="calibri"/>
          <w:sz w:val="24"/>
          <w:szCs w:val="24"/>
          <w:b/>
        </w:rPr>
        <w:t xml:space="preserve">Wszyscy uczestnicy zadeklarowali zamiar nabycia auta firmowego w krótkim czasie</w:t>
      </w:r>
      <w:r>
        <w:rPr>
          <w:rFonts w:ascii="calibri" w:hAnsi="calibri" w:eastAsia="calibri" w:cs="calibri"/>
          <w:sz w:val="24"/>
          <w:szCs w:val="24"/>
        </w:rPr>
        <w:t xml:space="preserve"> – 48% jeszcze w tym roku, a 52% najpóźniej w przyszłym. W przypadku 30% badanych chodzi o tylko jedno auto, a prawie taki sam odsetek zamierza nabyć ich więcej niż pięć. Z kolei 39% planuje zakup od dwóch do pięciu samochodów.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 sposób finansowania samochodu firmy wciąż preferują leasing</w:t>
      </w:r>
      <w:r>
        <w:rPr>
          <w:rFonts w:ascii="calibri" w:hAnsi="calibri" w:eastAsia="calibri" w:cs="calibri"/>
          <w:sz w:val="24"/>
          <w:szCs w:val="24"/>
        </w:rPr>
        <w:t xml:space="preserve"> – planuje z niego skorzystać 62% badanych. Gotówkę wybierze 32% respondentów, a kredyt – 16%. Czwarte miejsce zajmuje wynajem (11%). Wśród czynników, które mają znaczenie dla przedsiębiorców przy wyborze auta, </w:t>
      </w:r>
      <w:r>
        <w:rPr>
          <w:rFonts w:ascii="calibri" w:hAnsi="calibri" w:eastAsia="calibri" w:cs="calibri"/>
          <w:sz w:val="24"/>
          <w:szCs w:val="24"/>
          <w:b/>
        </w:rPr>
        <w:t xml:space="preserve">niezmiennie na pierwszym miejscu plasuje się cena </w:t>
      </w:r>
      <w:r>
        <w:rPr>
          <w:rFonts w:ascii="calibri" w:hAnsi="calibri" w:eastAsia="calibri" w:cs="calibri"/>
          <w:sz w:val="24"/>
          <w:szCs w:val="24"/>
        </w:rPr>
        <w:t xml:space="preserve">(wskazana przez 70%), ale w ścisłej czołówce są także: marka (41%), wyposażenie (40%) i rodzaj napędu (38%).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Grupie EFL mamy korzystne oferty finansowania i skutecznie wspieramy przedsiębiorców, którzy naprawdę lubią samochody. Sprawiamy, że mogą sobie pozwolić na auta, jakich potrzebują, ale też takie, jakie po prostu kochają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Robert Dudziński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dyrektor sprzedaży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Carefleet</w:t>
        </w:r>
      </w:hyperlink>
      <w:r>
        <w:rPr>
          <w:rFonts w:ascii="calibri" w:hAnsi="calibri" w:eastAsia="calibri" w:cs="calibri"/>
          <w:sz w:val="24"/>
          <w:szCs w:val="24"/>
        </w:rPr>
        <w:t xml:space="preserve">, Grupa EFL.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kierowców: wygodne SUV-y i samochody 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Niekwestionowanym królem polskich dróg stał się SUV </w:t>
      </w:r>
      <w:r>
        <w:rPr>
          <w:rFonts w:ascii="calibri" w:hAnsi="calibri" w:eastAsia="calibri" w:cs="calibri"/>
          <w:sz w:val="24"/>
          <w:szCs w:val="24"/>
        </w:rPr>
        <w:t xml:space="preserve">– aż 15 z 20 modeli najczęściej rejestrowanych w sierpniu 2025 r. miało cechy SUV-a (uwzględniając też crossovery).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popularność zyskują samochody premium</w:t>
      </w:r>
      <w:r>
        <w:rPr>
          <w:rFonts w:ascii="calibri" w:hAnsi="calibri" w:eastAsia="calibri" w:cs="calibri"/>
          <w:sz w:val="24"/>
          <w:szCs w:val="24"/>
        </w:rPr>
        <w:t xml:space="preserve"> – od stycznia do sierpnia 2025 r. zarejestrowano ich o 5,6% więcej niż rok wcześniej. W ich przypadku udział klientów instytucjonalnych w nowych rejestracjach wyniósł aż 82,9%, co wyraźnie przewyższa cały segment aut osobowych i potwierdza, że</w:t>
      </w:r>
      <w:r>
        <w:rPr>
          <w:rFonts w:ascii="calibri" w:hAnsi="calibri" w:eastAsia="calibri" w:cs="calibri"/>
          <w:sz w:val="24"/>
          <w:szCs w:val="24"/>
          <w:b/>
        </w:rPr>
        <w:t xml:space="preserve"> flota firmowa z wyższej półki to nowy trend.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przejściowym spadku </w:t>
      </w:r>
      <w:r>
        <w:rPr>
          <w:rFonts w:ascii="calibri" w:hAnsi="calibri" w:eastAsia="calibri" w:cs="calibri"/>
          <w:sz w:val="24"/>
          <w:szCs w:val="24"/>
          <w:b/>
        </w:rPr>
        <w:t xml:space="preserve">elektryki znów powoli wracają do łask</w:t>
      </w:r>
      <w:r>
        <w:rPr>
          <w:rFonts w:ascii="calibri" w:hAnsi="calibri" w:eastAsia="calibri" w:cs="calibri"/>
          <w:sz w:val="24"/>
          <w:szCs w:val="24"/>
        </w:rPr>
        <w:t xml:space="preserve">, a ich udział w sierpniu 2025 r. był rekordowy (7,8%). Jednak zaledwie 19% uczestników badania EFL zadeklarowało, że w ich firmach rozważany jest zakup aut z napędem elektrycznym. Przedsiębiorcy z pewną rezerwą podchodzą też do </w:t>
      </w:r>
      <w:r>
        <w:rPr>
          <w:rFonts w:ascii="calibri" w:hAnsi="calibri" w:eastAsia="calibri" w:cs="calibri"/>
          <w:sz w:val="24"/>
          <w:szCs w:val="24"/>
          <w:b/>
        </w:rPr>
        <w:t xml:space="preserve">chińskiej motoryzacji</w:t>
      </w:r>
      <w:r>
        <w:rPr>
          <w:rFonts w:ascii="calibri" w:hAnsi="calibri" w:eastAsia="calibri" w:cs="calibri"/>
          <w:sz w:val="24"/>
          <w:szCs w:val="24"/>
        </w:rPr>
        <w:t xml:space="preserve">, która ma więcej zwolenników wśród klientów indywidualnych. Uczestnicy badania EFL wymienili chińskie marki jako ostatnie preferowane przy rozbudowie floty firmowej.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Kluczowe pytanie – nowe czy używane?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aut używanych ma się dobrze, a w 2024 r. sprowadzono do Polski </w:t>
      </w:r>
      <w:r>
        <w:rPr>
          <w:rFonts w:ascii="calibri" w:hAnsi="calibri" w:eastAsia="calibri" w:cs="calibri"/>
          <w:sz w:val="24"/>
          <w:szCs w:val="24"/>
          <w:b/>
        </w:rPr>
        <w:t xml:space="preserve">rekordowe 967,5 tys. samochodów z drugiej ręki</w:t>
      </w:r>
      <w:r>
        <w:rPr>
          <w:rFonts w:ascii="calibri" w:hAnsi="calibri" w:eastAsia="calibri" w:cs="calibri"/>
          <w:sz w:val="24"/>
          <w:szCs w:val="24"/>
        </w:rPr>
        <w:t xml:space="preserve">, głównie z Niemiec. Jednak w tym samym czasie </w:t>
      </w:r>
      <w:r>
        <w:rPr>
          <w:rFonts w:ascii="calibri" w:hAnsi="calibri" w:eastAsia="calibri" w:cs="calibri"/>
          <w:sz w:val="24"/>
          <w:szCs w:val="24"/>
          <w:b/>
        </w:rPr>
        <w:t xml:space="preserve">rośnie popyt na nowe pojazdy</w:t>
      </w:r>
      <w:r>
        <w:rPr>
          <w:rFonts w:ascii="calibri" w:hAnsi="calibri" w:eastAsia="calibri" w:cs="calibri"/>
          <w:sz w:val="24"/>
          <w:szCs w:val="24"/>
        </w:rPr>
        <w:t xml:space="preserve">, co można wiązać ze wzrostem zamożności nabywców, większą dostępnością aut prosto z salonu i atrakcyjnymi rabatami. Aż 6 na 10 uczestników badania EFL planuje zakupić do firmy tylko nowe auto, a co czwarty równocześnie bierze pod uwagę używane. Samochód służbowy wyłącznie z drugiej ręki zamierza nabyć tylko 13%.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wersja raportu EFL „Jakie auta kochają polscy przedsiębiorcy” dostępna jest pod linkiem: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https://efl.pl/pl/biznes-i-ty/artykuly/raport-efl-jakie-auta-kochaja-polscy-przedsiebiorcy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fl.pl/pl/" TargetMode="External"/><Relationship Id="rId8" Type="http://schemas.openxmlformats.org/officeDocument/2006/relationships/hyperlink" Target="https://www.linkedin.com/in/robert-dudzi%C5%84ski-88448587/" TargetMode="External"/><Relationship Id="rId9" Type="http://schemas.openxmlformats.org/officeDocument/2006/relationships/hyperlink" Target="https://www.linkedin.com/company/carefleet-sa/" TargetMode="External"/><Relationship Id="rId10" Type="http://schemas.openxmlformats.org/officeDocument/2006/relationships/hyperlink" Target="https://efl.pl/pl/biznes-i-ty/artykuly/raport-efl-jakie-auta-kochaja-polscy-przedsiebior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2026-04-19T15:50:10+02:00</dcterms:created>
  <dcterms:modified xsi:type="dcterms:W3CDTF">2026-04-19T15:50:10+02:00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