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Ciężarówki na rozdrożu. Polscy przewoźnicy liderami w UE, ale muszą przygotować się na zmiany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odgrywa ważną rolę w europejskim systemie transportu. W 2025 r. pojazdy zarejestrowane w naszym kraju wykonały ponad 20% całej drogowej pracy przewozowej w UE – to najwięcej ze wszystkich państw. Nowy raport EFL pokazuje jednak, że dotychczasowy model biznesowy przestaje wystarczać, a branża transportowa musi liczyć się z nowymi wyzwaniami.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Kierowcy na wagę złota: w Europie brakuje ich pół miliona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hamulców w sektorze transportu jest kryzys kadrowy. Według najnowszych szacunków IRU w Europie pozostaje do obsadzenia </w:t>
      </w:r>
      <w:r>
        <w:rPr>
          <w:rFonts w:ascii="calibri" w:hAnsi="calibri" w:eastAsia="calibri" w:cs="calibri"/>
          <w:sz w:val="24"/>
          <w:szCs w:val="24"/>
          <w:b/>
        </w:rPr>
        <w:t xml:space="preserve">ok. 502 tys. stanowisk kierowców ciężarówek</w:t>
      </w:r>
      <w:r>
        <w:rPr>
          <w:rFonts w:ascii="calibri" w:hAnsi="calibri" w:eastAsia="calibri" w:cs="calibri"/>
          <w:sz w:val="24"/>
          <w:szCs w:val="24"/>
        </w:rPr>
        <w:t xml:space="preserve">, co stanowi 13% zapotrzebowania. Na niekorzyść działa też sytuacja demograficzna – do 2030 r. na emeryturę ma przejść co piąty europejski kierowca (ok. 660 tys. osób).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luka pokoleniowa jest wyjątkowo widoczna –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1,5% polskich kierowców nie skończyło jeszcze 25 lat.</w:t>
      </w:r>
      <w:r>
        <w:rPr>
          <w:rFonts w:ascii="calibri" w:hAnsi="calibri" w:eastAsia="calibri" w:cs="calibri"/>
          <w:sz w:val="24"/>
          <w:szCs w:val="24"/>
        </w:rPr>
        <w:t xml:space="preserve"> Dlatego wiele przedsiębiorstw sięga po pracowników spoza UE, inwestuje w szkolenia i poprawę warunków pracy oraz wdraża technologie cyfrowe, które odciążają kierowców z części obowiązków.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tnie koszty i skraca czas dostaw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transportowa jest także świadkiem rewolucji technologicznej, a cyfryzacja mocno wpłynęła na sposób zarządzania flotą. Raport Geotab z 2026 r. wskazuje,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64% europejskich flot wykorzystuje sztuczną inteligencję do planowania tras</w:t>
      </w:r>
      <w:r>
        <w:rPr>
          <w:rFonts w:ascii="calibri" w:hAnsi="calibri" w:eastAsia="calibri" w:cs="calibri"/>
          <w:sz w:val="24"/>
          <w:szCs w:val="24"/>
        </w:rPr>
        <w:t xml:space="preserve">, a 55% zarządza pojazdami elektrycznymi lub hybrydowymi za pomocą narzędzi analizujących dane operacyjne. Rozwiązania oparte na AI przynoszą wymierne efekty: 69% firm skróciło czas dostaw, a 61% osiągnęło zwrot z inwestycji w mniej niż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Zielony łańcuch dostaw i wymogi normy Euro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są także regulacje środowiskowe, takie jak nowa norma Euro 7. W transporcie ciężkim wejdzie w życie dwoma etapami:</w:t>
      </w:r>
      <w:r>
        <w:rPr>
          <w:rFonts w:ascii="calibri" w:hAnsi="calibri" w:eastAsia="calibri" w:cs="calibri"/>
          <w:sz w:val="24"/>
          <w:szCs w:val="24"/>
          <w:b/>
        </w:rPr>
        <w:t xml:space="preserve"> od 29 maja 2028 r. </w:t>
      </w:r>
      <w:r>
        <w:rPr>
          <w:rFonts w:ascii="calibri" w:hAnsi="calibri" w:eastAsia="calibri" w:cs="calibri"/>
          <w:sz w:val="24"/>
          <w:szCs w:val="24"/>
        </w:rPr>
        <w:t xml:space="preserve">dla nowo homologowanych typów pojazdów </w:t>
      </w:r>
      <w:r>
        <w:rPr>
          <w:rFonts w:ascii="calibri" w:hAnsi="calibri" w:eastAsia="calibri" w:cs="calibri"/>
          <w:sz w:val="24"/>
          <w:szCs w:val="24"/>
          <w:b/>
        </w:rPr>
        <w:t xml:space="preserve">oraz od 29 maja 2029 r. </w:t>
      </w:r>
      <w:r>
        <w:rPr>
          <w:rFonts w:ascii="calibri" w:hAnsi="calibri" w:eastAsia="calibri" w:cs="calibri"/>
          <w:sz w:val="24"/>
          <w:szCs w:val="24"/>
        </w:rPr>
        <w:t xml:space="preserve">dla wszystkich ciężarówek i autobusów rejestrowanych po raz pierwszy. Oprócz limitów emisji spalin norma po raz pierwszy obejmie pyły ze ścierania hamulców i opon oraz żywotność akumulatorów w samochodach elektrycznych.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unijne przepisy dotyczące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raportowania zrównoważonego rozwoju</w:t>
      </w:r>
      <w:r>
        <w:rPr>
          <w:rFonts w:ascii="calibri" w:hAnsi="calibri" w:eastAsia="calibri" w:cs="calibri"/>
          <w:sz w:val="24"/>
          <w:szCs w:val="24"/>
        </w:rPr>
        <w:t xml:space="preserve"> wpłynęły na wzrost znaczenia telematyki, cyfrowych dokumentów przewozowych i systemów, które automatycznie </w:t>
      </w:r>
      <w:r>
        <w:rPr>
          <w:rFonts w:ascii="calibri" w:hAnsi="calibri" w:eastAsia="calibri" w:cs="calibri"/>
          <w:sz w:val="24"/>
          <w:szCs w:val="24"/>
          <w:b/>
        </w:rPr>
        <w:t xml:space="preserve">obliczają ślad węglowy.</w:t>
      </w:r>
      <w:r>
        <w:rPr>
          <w:rFonts w:ascii="calibri" w:hAnsi="calibri" w:eastAsia="calibri" w:cs="calibri"/>
          <w:sz w:val="24"/>
          <w:szCs w:val="24"/>
        </w:rPr>
        <w:t xml:space="preserve"> Dla przewoźników jeszcze bardziej istotna stanie się umiejętność ograniczania pustych przebiegów i planowania transportu intermodalnego czy wykorzystywanie paliw alternatywnych.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Ciężarówki na celowniku cyberprzestępców?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Ciężarówka wyposażona w nowoczesne systemy to nie tylko środek transportu, lecz także element firmowej infrastruktury cyfrowej, co stwarza nowe zagrożenia.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cyberbezpieczeństwo staje się jednym z podstawowych elementów zarządzania flotą,</w:t>
      </w:r>
      <w:r>
        <w:rPr>
          <w:rFonts w:ascii="calibri" w:hAnsi="calibri" w:eastAsia="calibri" w:cs="calibri"/>
          <w:sz w:val="24"/>
          <w:szCs w:val="24"/>
        </w:rPr>
        <w:t xml:space="preserve"> a transport drogowy jest jednym z sektorów, który podlega dyrektywie NIS2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ds. cyberbezpieczeństwa zauważają </w:t>
      </w:r>
      <w:r>
        <w:rPr>
          <w:rFonts w:ascii="calibri" w:hAnsi="calibri" w:eastAsia="calibri" w:cs="calibri"/>
          <w:sz w:val="24"/>
          <w:szCs w:val="24"/>
          <w:b/>
        </w:rPr>
        <w:t xml:space="preserve">nie tylko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ataków, ale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coraz większą różnorodność metod</w:t>
      </w:r>
      <w:r>
        <w:rPr>
          <w:rFonts w:ascii="calibri" w:hAnsi="calibri" w:eastAsia="calibri" w:cs="calibri"/>
          <w:sz w:val="24"/>
          <w:szCs w:val="24"/>
        </w:rPr>
        <w:t xml:space="preserve">, utrudniającą ich szybkie wykrycie. Według IBM średni koszt naruszenia bezpieczeństwa danych wynosi 4,44 mln dolarów, a zastosowanie AI i automatyzacji w ochronie cyfrowej znacznie obniża koszty takich incydentów.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firmy transportowe przygotowują się na zmiany?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Tempo zmian w transporcie ciężkim mocno wpływa na sposób planowania inwestycji, co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Podusowska, Asset Product Manager w Grupie EFL.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Finansowanie obejmuje dziś nie tylko pojazdy, ale również systemy telematyczne, oprogramowanie, automatykę magazynową czy infrastrukturę wspierającą elektromobilność. To naturalna konsekwencja cyfryzacji i rosnących oczekiwań wobec logistyki. Przedsiębiorcy myślą o inwestycjach szerzej niż jeszcze kilka lat temu. Liczy się nie pojedynczy środek trwały, lecz rozwiązania, które zwiększają efektywność całego łańcucha dostaw i pozwalają lepiej przygotować firmę na kolejne zmiany rynkowe</w:t>
      </w:r>
      <w:r>
        <w:rPr>
          <w:rFonts w:ascii="calibri" w:hAnsi="calibri" w:eastAsia="calibri" w:cs="calibri"/>
          <w:sz w:val="24"/>
          <w:szCs w:val="24"/>
        </w:rPr>
        <w:t xml:space="preserve"> – tłumaczy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EFL „Ciężarówka na rozdrożu. Nowe modele biznesowe w transporcie ciężkim” dostępny jest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https://efl.pl/pl/biznes-i-ty/raporty/raport-efl-ciezarowka-na-rozdrozu-nowe-modele-biznesowe-w-transporcie-ciezkim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biznes-i-ty/raporty/raport-efl-ciezarowka-na-rozdrozu-nowe-modele-biznesowe-w-transporcie-ciezk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2026-09-22T10:33:28+02:00</dcterms:created>
  <dcterms:modified xsi:type="dcterms:W3CDTF">2026-09-22T10:33:28+02:00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