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transformacja jako strategia przetrwania firm w niepewnych czasach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Energia, która jeszcze niedawno była przewidywalnym kosztem, dziś często decyduje o tym, czy firma utrzyma się na rynku. Z najnowszego raportu EFL wynika, że polskie przedsiębiorstwa coraz bardziej stawiają na niezależność energetyczną.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szuka stabilności. Własny prąd nową walutą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Wahania cen surowców, napięcia geopolityczne oraz zmiany regulacyjne zmieniły podejście biznesu do energii elektrycznej. W odpowiedzi na wyzwania związane z rosnącym popytem na prąd i bezpieczeństwem energetycznym firmy stawiają m.in. na </w:t>
      </w:r>
      <w:r>
        <w:rPr>
          <w:rFonts w:ascii="calibri" w:hAnsi="calibri" w:eastAsia="calibri" w:cs="calibri"/>
          <w:sz w:val="24"/>
          <w:szCs w:val="24"/>
          <w:b/>
        </w:rPr>
        <w:t xml:space="preserve">własne źródła energii</w:t>
      </w:r>
      <w:r>
        <w:rPr>
          <w:rFonts w:ascii="calibri" w:hAnsi="calibri" w:eastAsia="calibri" w:cs="calibri"/>
          <w:sz w:val="24"/>
          <w:szCs w:val="24"/>
        </w:rPr>
        <w:t xml:space="preserve">. Transformacja może jednak przebiegać według różnych scenariuszy. W 2025 roku globalne nakłady na efektywność energetyczną sięgnęły prawie</w:t>
      </w:r>
      <w:r>
        <w:rPr>
          <w:rFonts w:ascii="calibri" w:hAnsi="calibri" w:eastAsia="calibri" w:cs="calibri"/>
          <w:sz w:val="24"/>
          <w:szCs w:val="24"/>
          <w:b/>
        </w:rPr>
        <w:t xml:space="preserve"> 800 mld dolarów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energetyczna przestaje być wyłącznie odpowiedzią na wymagania regulacyjne. Dla wielu przedsiębiorstw staje się elementem strategii zarządzania ryzykiem i budowania odporności na zmiany rynkowe. Cele ESG coraz częściej wspierają także stabilność kosztów, bezpieczeństwo operacyjne i konkurencyjność firm</w:t>
      </w:r>
      <w:r>
        <w:rPr>
          <w:rFonts w:ascii="calibri" w:hAnsi="calibri" w:eastAsia="calibri" w:cs="calibri"/>
          <w:sz w:val="24"/>
          <w:szCs w:val="24"/>
        </w:rPr>
        <w:t xml:space="preserve"> –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Stasiak</w:t>
      </w:r>
      <w:r>
        <w:rPr>
          <w:rFonts w:ascii="calibri" w:hAnsi="calibri" w:eastAsia="calibri" w:cs="calibri"/>
          <w:sz w:val="24"/>
          <w:szCs w:val="24"/>
        </w:rPr>
        <w:t xml:space="preserve">, manager ds. ESG w Grupie EFL.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nadal atrakcyjna, ale liczy się autokonsumpcja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zainstalowana fotowoltaiki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przekroczyła już 26 GW</w:t>
      </w:r>
      <w:r>
        <w:rPr>
          <w:rFonts w:ascii="calibri" w:hAnsi="calibri" w:eastAsia="calibri" w:cs="calibri"/>
          <w:sz w:val="24"/>
          <w:szCs w:val="24"/>
        </w:rPr>
        <w:t xml:space="preserve">, a coraz większy udział mają instalacje realizowane przez przedsiębiorstwa. Widać jednak wyraźną zmianę modelu: firmy odchodzą od sprzedaży nadwyżek prądu na rzecz</w:t>
      </w:r>
      <w:r>
        <w:rPr>
          <w:rFonts w:ascii="calibri" w:hAnsi="calibri" w:eastAsia="calibri" w:cs="calibri"/>
          <w:sz w:val="24"/>
          <w:szCs w:val="24"/>
          <w:b/>
        </w:rPr>
        <w:t xml:space="preserve"> autokonsumpcji</w:t>
      </w:r>
      <w:r>
        <w:rPr>
          <w:rFonts w:ascii="calibri" w:hAnsi="calibri" w:eastAsia="calibri" w:cs="calibri"/>
          <w:sz w:val="24"/>
          <w:szCs w:val="24"/>
        </w:rPr>
        <w:t xml:space="preserve">, czyli zużywania własnej energii tu i teraz. Oprócz tego coraz częściej zwracają uwagę na dopasowanie mocy do rzeczywistego zużycia i integrację fotowoltaiki z innymi elementami infrastruktury energetycznej.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zielonej transformacji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jakie rozwiązania oprócz fotowoltaiki inwestują dzisiaj polskie firmy? Raport EFL wskazuje kilka głównych trendów.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Magazyny energii</w:t>
      </w:r>
      <w:r>
        <w:rPr>
          <w:rFonts w:ascii="calibri" w:hAnsi="calibri" w:eastAsia="calibri" w:cs="calibri"/>
          <w:sz w:val="24"/>
          <w:szCs w:val="24"/>
        </w:rPr>
        <w:t xml:space="preserve"> – inwestycje w ten segment na świecie przekroczyły 66 mld dolarów w 2025 roku. Pozwalają one firmom gromadzić tani prąd i zachować ciągłość funkcjonowania na wypadek zakłóceń w dostawach energii. Znaczenie magazynów rośnie wraz z rozwojem fotowoltaiki i elektromobilności.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Elektryfikacja transportu </w:t>
      </w:r>
      <w:r>
        <w:rPr>
          <w:rFonts w:ascii="calibri" w:hAnsi="calibri" w:eastAsia="calibri" w:cs="calibri"/>
          <w:sz w:val="24"/>
          <w:szCs w:val="24"/>
        </w:rPr>
        <w:t xml:space="preserve">– samochody elektryczne stanowią już 17,4% nowych rejestracji w UE. Flota na prąd pozwala firmom uniezależnić koszty transportu od cen ropy, wahających się np. na skutek ostatnich napięć na Bliskim Wschodzie.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Cyfryzacja i AI </w:t>
      </w:r>
      <w:r>
        <w:rPr>
          <w:rFonts w:ascii="calibri" w:hAnsi="calibri" w:eastAsia="calibri" w:cs="calibri"/>
          <w:sz w:val="24"/>
          <w:szCs w:val="24"/>
        </w:rPr>
        <w:t xml:space="preserve">– o przewadze decyduje dziś nie tylko źródło prądu, ale też systemy, które monitorują jego zużycie. Firmy technologiczne rozwijające automatykę i sztuczną inteligencję stają się głównymi beneficjentami tych zmian.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Biurowa transformacja </w:t>
      </w:r>
      <w:r>
        <w:rPr>
          <w:rFonts w:ascii="calibri" w:hAnsi="calibri" w:eastAsia="calibri" w:cs="calibri"/>
          <w:sz w:val="24"/>
          <w:szCs w:val="24"/>
        </w:rPr>
        <w:t xml:space="preserve">– zmienia się również codzienne funkcjonowanie wielu przedsiębiorstw. Firmy ograniczają zużycie papieru, rozwijają elektroniczny obieg dokumentów, wdrażają systemy monitorowania zużycia energii i wody oraz wykorzystują narzędzia cyfrowe do komunikacji, aby ograniczyć podróże służbowe.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perspektywy rynku widać, że inwestycje energetyczne stają się ważnym elementem strategii rozwoju przedsiębiorstw. Dla wielu firm oznaczają nie tylko większą kontrolę nad kosztami, ale także wzmacnianie bezpieczeństwa operacyjnego i lepsze przygotowanie na zmieniające się warunki prowadzenia biznesu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Monika Sobczyk</w:t>
      </w:r>
      <w:r>
        <w:rPr>
          <w:rFonts w:ascii="calibri" w:hAnsi="calibri" w:eastAsia="calibri" w:cs="calibri"/>
          <w:sz w:val="24"/>
          <w:szCs w:val="24"/>
        </w:rPr>
        <w:t xml:space="preserve">, asset product manager w Grupie EFL.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na drodze do zmian – co blokuje transformację?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dużego tempa transformacja napotyka przeszkody, a największą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obciążenie sieci elektroenergetycznych</w:t>
      </w:r>
      <w:r>
        <w:rPr>
          <w:rFonts w:ascii="calibri" w:hAnsi="calibri" w:eastAsia="calibri" w:cs="calibri"/>
          <w:sz w:val="24"/>
          <w:szCs w:val="24"/>
        </w:rPr>
        <w:t xml:space="preserve">. Przedsiębiorcy coraz częściej mają kłopoty z przyłączeniem nowych instalacji. Polskie Sieci Elektroenergetyczne szacują, że rozwój infrastruktury do 2034 roku będzie wymagał inwestycji przekraczających </w:t>
      </w:r>
      <w:r>
        <w:rPr>
          <w:rFonts w:ascii="calibri" w:hAnsi="calibri" w:eastAsia="calibri" w:cs="calibri"/>
          <w:sz w:val="24"/>
          <w:szCs w:val="24"/>
          <w:b/>
        </w:rPr>
        <w:t xml:space="preserve">64 mld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barierą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ogromna skala inwestycji </w:t>
      </w:r>
      <w:r>
        <w:rPr>
          <w:rFonts w:ascii="calibri" w:hAnsi="calibri" w:eastAsia="calibri" w:cs="calibri"/>
          <w:sz w:val="24"/>
          <w:szCs w:val="24"/>
        </w:rPr>
        <w:t xml:space="preserve">niezbędnych do przeprowadzenia transformacji. Należy tutaj również wspomnieć o zarządzaniu energią – transformacja oprócz nowych urządzeń, wymaga także dostępu do danych, automatyzacji procesów i rozwijania kompetencji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„Energia pod kontrolą. Jak firmy zarządzają zieloną transformacją” dostępny jest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https://efl.pl/pl/biznes-i-ty/raporty/raport-efl-energia-pod-kontrola-jak-firmy-zarzadzaja-zielona-transformacja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energia-pod-kontrola-jak-firmy-zarzadzaja-zielona-transform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2026-06-30T19:29:42+02:00</dcterms:created>
  <dcterms:modified xsi:type="dcterms:W3CDTF">2026-06-30T19:29:42+02:00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